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25A28" w14:textId="77777777" w:rsidR="003500B0" w:rsidRDefault="003500B0" w:rsidP="0036423A">
      <w:pPr>
        <w:spacing w:after="0" w:line="240" w:lineRule="auto"/>
        <w:jc w:val="center"/>
        <w:rPr>
          <w:rFonts w:ascii="Calibri" w:hAnsi="Calibri" w:cs="Calibri"/>
          <w:b/>
          <w:bCs/>
          <w:sz w:val="26"/>
          <w:szCs w:val="26"/>
        </w:rPr>
      </w:pPr>
    </w:p>
    <w:p w14:paraId="7D119B46" w14:textId="4A198A10" w:rsidR="003500B0" w:rsidRPr="0029245D" w:rsidRDefault="003500B0" w:rsidP="0036423A">
      <w:pPr>
        <w:spacing w:after="0" w:line="240" w:lineRule="auto"/>
        <w:jc w:val="center"/>
        <w:rPr>
          <w:rFonts w:ascii="Calibri" w:hAnsi="Calibri" w:cs="Calibri"/>
          <w:b/>
          <w:bCs/>
          <w:sz w:val="28"/>
          <w:szCs w:val="28"/>
        </w:rPr>
      </w:pPr>
      <w:r w:rsidRPr="0029245D">
        <w:rPr>
          <w:rFonts w:ascii="Calibri" w:hAnsi="Calibri" w:cs="Calibri"/>
          <w:b/>
          <w:bCs/>
          <w:sz w:val="28"/>
          <w:szCs w:val="28"/>
        </w:rPr>
        <w:t>Ostatnia szansa na dołączenie do Pucharu Tymbarku!</w:t>
      </w:r>
    </w:p>
    <w:p w14:paraId="277EB628" w14:textId="77777777" w:rsidR="003500B0" w:rsidRPr="00381EAE" w:rsidRDefault="003500B0" w:rsidP="0036423A">
      <w:pPr>
        <w:spacing w:after="0" w:line="240" w:lineRule="auto"/>
        <w:jc w:val="both"/>
        <w:rPr>
          <w:rFonts w:ascii="Calibri" w:hAnsi="Calibri" w:cs="Calibri"/>
        </w:rPr>
      </w:pPr>
    </w:p>
    <w:p w14:paraId="431EE6EF" w14:textId="77777777" w:rsidR="003500B0" w:rsidRPr="009645A3" w:rsidRDefault="003500B0" w:rsidP="0036423A">
      <w:pPr>
        <w:spacing w:after="0" w:line="240" w:lineRule="auto"/>
        <w:jc w:val="both"/>
        <w:rPr>
          <w:rFonts w:ascii="Calibri" w:hAnsi="Calibri" w:cs="Calibri"/>
          <w:b/>
          <w:bCs/>
        </w:rPr>
      </w:pPr>
      <w:r w:rsidRPr="00381EAE">
        <w:rPr>
          <w:rFonts w:ascii="Calibri" w:hAnsi="Calibri" w:cs="Calibri"/>
          <w:b/>
          <w:bCs/>
        </w:rPr>
        <w:t xml:space="preserve">Już tylko do 6 marca można zgłaszać drużyny do największego w Europie turnieju piłkarskiego dla dzieci – Pucharu Tymbarku. </w:t>
      </w:r>
      <w:r>
        <w:rPr>
          <w:rFonts w:ascii="Calibri" w:hAnsi="Calibri" w:cs="Calibri"/>
          <w:b/>
          <w:bCs/>
        </w:rPr>
        <w:t>N</w:t>
      </w:r>
      <w:r w:rsidRPr="00381EAE">
        <w:rPr>
          <w:rFonts w:ascii="Calibri" w:hAnsi="Calibri" w:cs="Calibri"/>
          <w:b/>
          <w:bCs/>
        </w:rPr>
        <w:t xml:space="preserve">a </w:t>
      </w:r>
      <w:r>
        <w:rPr>
          <w:rFonts w:ascii="Calibri" w:hAnsi="Calibri" w:cs="Calibri"/>
          <w:b/>
          <w:bCs/>
        </w:rPr>
        <w:t xml:space="preserve">zwycięzców </w:t>
      </w:r>
      <w:r w:rsidRPr="00381EAE">
        <w:rPr>
          <w:rFonts w:ascii="Calibri" w:hAnsi="Calibri" w:cs="Calibri"/>
          <w:b/>
          <w:bCs/>
        </w:rPr>
        <w:t>czekają niezwykłe nagrody – finał na PGE Narodowym, uczestnictwo w meczu reprezentacji Polski oraz spotkanie z kadrą narodową. Drużyny mogą zgłaszać zarówno nauczyciele wychowania fizycznego czy edukacji wczesnoszkolnej, jak i</w:t>
      </w:r>
      <w:r>
        <w:rPr>
          <w:rFonts w:ascii="Calibri" w:hAnsi="Calibri" w:cs="Calibri"/>
          <w:b/>
          <w:bCs/>
        </w:rPr>
        <w:t> </w:t>
      </w:r>
      <w:r w:rsidRPr="00381EAE">
        <w:rPr>
          <w:rFonts w:ascii="Calibri" w:hAnsi="Calibri" w:cs="Calibri"/>
          <w:b/>
          <w:bCs/>
        </w:rPr>
        <w:t>rodzice.</w:t>
      </w:r>
    </w:p>
    <w:p w14:paraId="138E46D4" w14:textId="77777777" w:rsidR="003500B0" w:rsidRDefault="003500B0" w:rsidP="0036423A">
      <w:pPr>
        <w:spacing w:after="0" w:line="240" w:lineRule="auto"/>
        <w:jc w:val="both"/>
        <w:rPr>
          <w:rFonts w:ascii="Calibri" w:hAnsi="Calibri" w:cs="Calibri"/>
          <w14:ligatures w14:val="none"/>
        </w:rPr>
      </w:pPr>
    </w:p>
    <w:p w14:paraId="543FEAFC" w14:textId="77777777" w:rsidR="003500B0" w:rsidRPr="00381EAE" w:rsidRDefault="003500B0" w:rsidP="0036423A">
      <w:pPr>
        <w:spacing w:after="0" w:line="240" w:lineRule="auto"/>
        <w:jc w:val="both"/>
        <w:rPr>
          <w:rFonts w:ascii="Calibri" w:hAnsi="Calibri" w:cs="Calibri"/>
        </w:rPr>
      </w:pPr>
      <w:r w:rsidRPr="00381EAE">
        <w:rPr>
          <w:rFonts w:ascii="Calibri" w:hAnsi="Calibri" w:cs="Calibri"/>
          <w14:ligatures w14:val="none"/>
        </w:rPr>
        <w:t xml:space="preserve">Od 24 lat za organizację turnieju odpowiada Polski Związek Piłki Nożnej, a sponsorem generalnym od 2007 r. jest marka Tymbark. </w:t>
      </w:r>
      <w:r w:rsidRPr="00381EAE">
        <w:rPr>
          <w:rFonts w:ascii="Calibri" w:hAnsi="Calibri" w:cs="Calibri"/>
          <w:i/>
          <w:iCs/>
          <w14:ligatures w14:val="none"/>
        </w:rPr>
        <w:t>–</w:t>
      </w:r>
      <w:r w:rsidRPr="00381EAE">
        <w:rPr>
          <w:rFonts w:ascii="Calibri" w:hAnsi="Calibri" w:cs="Calibri"/>
          <w:i/>
          <w:iCs/>
        </w:rPr>
        <w:t xml:space="preserve"> </w:t>
      </w:r>
      <w:r w:rsidRPr="00381EAE">
        <w:rPr>
          <w:rFonts w:ascii="Calibri" w:hAnsi="Calibri" w:cs="Calibri"/>
          <w:i/>
          <w:iCs/>
          <w14:ligatures w14:val="none"/>
        </w:rPr>
        <w:t xml:space="preserve">Puchar Tymbarku to niesamowita przygoda. Wystarczy zwrócić uwagę na to, że podczas treningów i rozgrywek dzieci mają możliwość spędzania czasu ze swoimi rówieśnikami, przyjaciółmi. Mogą też rywalizować z uczniami z innych gmin, powiatów czy województw, zdobywając kolejne doświadczenia sportowe i społeczne. To dla nich również szansa na załapanie bakcyla – miłości nie tylko do piłki nożnej, ale w ogóle aktywności fizycznej – </w:t>
      </w:r>
      <w:r w:rsidRPr="00381EAE">
        <w:rPr>
          <w:rFonts w:ascii="Calibri" w:hAnsi="Calibri" w:cs="Calibri"/>
          <w14:ligatures w14:val="none"/>
        </w:rPr>
        <w:t xml:space="preserve">mówi Nina Patalon, selekcjonerka reprezentacji Polski w piłce nożnej kobiet. </w:t>
      </w:r>
      <w:r w:rsidRPr="00381EAE">
        <w:rPr>
          <w:rFonts w:ascii="Calibri" w:hAnsi="Calibri" w:cs="Calibri"/>
          <w:i/>
          <w:iCs/>
          <w14:ligatures w14:val="none"/>
        </w:rPr>
        <w:t xml:space="preserve">– Puchar Tymbarku jest pierwszym krokiem do poznania piłki nożnej od strony profesjonalnej – </w:t>
      </w:r>
      <w:r w:rsidRPr="00381EAE">
        <w:rPr>
          <w:rFonts w:ascii="Calibri" w:hAnsi="Calibri" w:cs="Calibri"/>
          <w14:ligatures w14:val="none"/>
        </w:rPr>
        <w:t xml:space="preserve">dodaje. </w:t>
      </w:r>
    </w:p>
    <w:p w14:paraId="3326B9B0" w14:textId="77777777" w:rsidR="003500B0" w:rsidRDefault="003500B0" w:rsidP="0036423A">
      <w:pPr>
        <w:spacing w:after="0" w:line="240" w:lineRule="auto"/>
        <w:jc w:val="both"/>
        <w:rPr>
          <w:rFonts w:ascii="Calibri" w:hAnsi="Calibri" w:cs="Calibri"/>
          <w:b/>
          <w:bCs/>
        </w:rPr>
      </w:pPr>
    </w:p>
    <w:p w14:paraId="6FAE5D3E" w14:textId="77777777" w:rsidR="003500B0" w:rsidRDefault="003500B0" w:rsidP="0036423A">
      <w:pPr>
        <w:spacing w:after="0" w:line="240" w:lineRule="auto"/>
        <w:jc w:val="both"/>
        <w:rPr>
          <w:rFonts w:ascii="Calibri" w:hAnsi="Calibri" w:cs="Calibri"/>
          <w:b/>
          <w:bCs/>
        </w:rPr>
      </w:pPr>
      <w:r w:rsidRPr="00381EAE">
        <w:rPr>
          <w:rFonts w:ascii="Calibri" w:hAnsi="Calibri" w:cs="Calibri"/>
          <w:b/>
          <w:bCs/>
        </w:rPr>
        <w:t>Spotkanie z kadrą i finał na PGE Narodowym</w:t>
      </w:r>
    </w:p>
    <w:p w14:paraId="0F3BF83B" w14:textId="77777777" w:rsidR="003500B0" w:rsidRPr="00381EAE" w:rsidRDefault="003500B0" w:rsidP="0036423A">
      <w:pPr>
        <w:spacing w:after="0" w:line="240" w:lineRule="auto"/>
        <w:jc w:val="both"/>
        <w:rPr>
          <w:rFonts w:ascii="Calibri" w:hAnsi="Calibri" w:cs="Calibri"/>
          <w:b/>
          <w:bCs/>
        </w:rPr>
      </w:pPr>
    </w:p>
    <w:p w14:paraId="0AAEA7B5" w14:textId="77777777" w:rsidR="003500B0" w:rsidRPr="00381EAE" w:rsidRDefault="003500B0" w:rsidP="0036423A">
      <w:pPr>
        <w:spacing w:after="0" w:line="240" w:lineRule="auto"/>
        <w:jc w:val="both"/>
        <w:rPr>
          <w:rFonts w:ascii="Calibri" w:hAnsi="Calibri" w:cs="Calibri"/>
        </w:rPr>
      </w:pPr>
      <w:r w:rsidRPr="00381EAE">
        <w:rPr>
          <w:rFonts w:ascii="Calibri" w:hAnsi="Calibri" w:cs="Calibri"/>
        </w:rPr>
        <w:t>Na najlepsze drużyny XXIV edycji Pucharu Tymbarku czekają niezapom</w:t>
      </w:r>
      <w:r>
        <w:rPr>
          <w:rFonts w:ascii="Calibri" w:hAnsi="Calibri" w:cs="Calibri"/>
        </w:rPr>
        <w:t>ni</w:t>
      </w:r>
      <w:r w:rsidRPr="00381EAE">
        <w:rPr>
          <w:rFonts w:ascii="Calibri" w:hAnsi="Calibri" w:cs="Calibri"/>
        </w:rPr>
        <w:t xml:space="preserve">ane i pełne piłkarskich emocji nagrody. Zwycięzcy nie tylko rozegrają spotkanie finałowe na PGE Narodowym oraz zostaną zaproszeni na mecz reprezentacji Polski, ale też będą mieli możliwość zadania pytań swoim idolom podczas specjalnego spotkania z zawodnikami kadry. </w:t>
      </w:r>
      <w:r w:rsidRPr="00381EAE">
        <w:rPr>
          <w:rFonts w:ascii="Calibri" w:hAnsi="Calibri" w:cs="Calibri"/>
          <w:i/>
          <w:iCs/>
        </w:rPr>
        <w:t>– Dzięki Pucharowi Tymbarku pierwszy raz można poczuć dumę, że wystąpiło się na PGE Narodowym. To przedsmak tego, co może w przyszłości czekać młodego zawodnika. Niejednokrotnie zdarzało się przecież, że uczestnicy turnieju w przyszłości zakładali reprezentacyjną koszulkę i grali na stadionie nawet o punkty w eliminacjach Mistrzostw Europy czy Świata –</w:t>
      </w:r>
      <w:r w:rsidRPr="00381EAE">
        <w:rPr>
          <w:rFonts w:ascii="Calibri" w:hAnsi="Calibri" w:cs="Calibri"/>
        </w:rPr>
        <w:t xml:space="preserve"> mówi Adam Buksa, reprezentant Polski w piłce nożnej, były uczestnik Pucharu Tymbarku.</w:t>
      </w:r>
      <w:r>
        <w:rPr>
          <w:rFonts w:ascii="Calibri" w:hAnsi="Calibri" w:cs="Calibri"/>
        </w:rPr>
        <w:t xml:space="preserve"> N</w:t>
      </w:r>
      <w:r w:rsidRPr="00381EAE">
        <w:rPr>
          <w:rFonts w:ascii="Calibri" w:hAnsi="Calibri" w:cs="Calibri"/>
        </w:rPr>
        <w:t xml:space="preserve">agrody i medale przewidziane są również na wcześniejszych etapach rozgrywek. </w:t>
      </w:r>
      <w:r>
        <w:rPr>
          <w:rFonts w:ascii="Calibri" w:hAnsi="Calibri" w:cs="Calibri"/>
        </w:rPr>
        <w:t>Co więcej, d</w:t>
      </w:r>
      <w:r w:rsidRPr="00381EAE">
        <w:rPr>
          <w:rFonts w:ascii="Calibri" w:hAnsi="Calibri" w:cs="Calibri"/>
        </w:rPr>
        <w:t>rużyny mogą wziąć udział nie tylko w rywalizacji sportowej, ale także w konkursach na kreatywność – najlepszą nazwę i logotyp zespołu – w których do wygrania są bony o wartości 5 tys. zł.</w:t>
      </w:r>
    </w:p>
    <w:p w14:paraId="69648E0A" w14:textId="77777777" w:rsidR="003500B0" w:rsidRPr="00381EAE" w:rsidRDefault="003500B0" w:rsidP="0036423A">
      <w:pPr>
        <w:spacing w:after="0" w:line="240" w:lineRule="auto"/>
        <w:jc w:val="both"/>
        <w:rPr>
          <w:rFonts w:ascii="Calibri" w:hAnsi="Calibri" w:cs="Calibri"/>
        </w:rPr>
      </w:pPr>
    </w:p>
    <w:p w14:paraId="51A9F3D1" w14:textId="77777777" w:rsidR="003500B0" w:rsidRDefault="003500B0" w:rsidP="0036423A">
      <w:pPr>
        <w:spacing w:after="0" w:line="240" w:lineRule="auto"/>
        <w:jc w:val="both"/>
        <w:rPr>
          <w:rFonts w:ascii="Calibri" w:hAnsi="Calibri" w:cs="Calibri"/>
          <w:b/>
          <w:bCs/>
        </w:rPr>
      </w:pPr>
      <w:r>
        <w:rPr>
          <w:rFonts w:ascii="Calibri" w:hAnsi="Calibri" w:cs="Calibri"/>
          <w:b/>
          <w:bCs/>
        </w:rPr>
        <w:t>Puchar Tymbarku promuje turniej dla dziewczyn</w:t>
      </w:r>
    </w:p>
    <w:p w14:paraId="7FFB7F20" w14:textId="77777777" w:rsidR="003500B0" w:rsidRDefault="003500B0" w:rsidP="0036423A">
      <w:pPr>
        <w:spacing w:after="0" w:line="240" w:lineRule="auto"/>
        <w:jc w:val="both"/>
        <w:rPr>
          <w:rFonts w:ascii="Calibri" w:hAnsi="Calibri" w:cs="Calibri"/>
          <w:b/>
          <w:bCs/>
        </w:rPr>
      </w:pPr>
    </w:p>
    <w:p w14:paraId="7D9A9CCC" w14:textId="5FADB5B9" w:rsidR="003500B0" w:rsidRPr="009645A3" w:rsidRDefault="003500B0" w:rsidP="0036423A">
      <w:pPr>
        <w:spacing w:after="0" w:line="240" w:lineRule="auto"/>
        <w:jc w:val="both"/>
        <w:rPr>
          <w:rFonts w:ascii="Calibri" w:hAnsi="Calibri" w:cs="Calibri"/>
        </w:rPr>
      </w:pPr>
      <w:r w:rsidRPr="00B05D2E">
        <w:rPr>
          <w:rFonts w:ascii="Calibri" w:hAnsi="Calibri" w:cs="Calibri"/>
        </w:rPr>
        <w:t xml:space="preserve">Puchar Tymbarku to także turniej dziewczynek – co roku coraz większa liczba drużyn dziewczęcych zgłasza się do udziału w turnieju. </w:t>
      </w:r>
      <w:r>
        <w:rPr>
          <w:rFonts w:ascii="Calibri" w:hAnsi="Calibri" w:cs="Calibri"/>
        </w:rPr>
        <w:t>Do tegorocznej edycji turnieju</w:t>
      </w:r>
      <w:r w:rsidRPr="00B05D2E">
        <w:rPr>
          <w:rFonts w:ascii="Calibri" w:hAnsi="Calibri" w:cs="Calibri"/>
        </w:rPr>
        <w:t xml:space="preserve"> zgłosiło się </w:t>
      </w:r>
      <w:r>
        <w:rPr>
          <w:rFonts w:ascii="Calibri" w:hAnsi="Calibri" w:cs="Calibri"/>
        </w:rPr>
        <w:t xml:space="preserve">już </w:t>
      </w:r>
      <w:r w:rsidRPr="00B05D2E">
        <w:rPr>
          <w:rFonts w:ascii="Calibri" w:hAnsi="Calibri" w:cs="Calibri"/>
        </w:rPr>
        <w:t xml:space="preserve">o 40% więcej drużyn </w:t>
      </w:r>
      <w:r>
        <w:rPr>
          <w:rFonts w:ascii="Calibri" w:hAnsi="Calibri" w:cs="Calibri"/>
        </w:rPr>
        <w:t xml:space="preserve">dziewczęcych </w:t>
      </w:r>
      <w:r w:rsidRPr="00B05D2E">
        <w:rPr>
          <w:rFonts w:ascii="Calibri" w:hAnsi="Calibri" w:cs="Calibri"/>
        </w:rPr>
        <w:t>niż rok temu</w:t>
      </w:r>
      <w:r>
        <w:rPr>
          <w:rFonts w:ascii="Calibri" w:hAnsi="Calibri" w:cs="Calibri"/>
        </w:rPr>
        <w:t xml:space="preserve">. Odsetek ten może wzrosnąć, ponieważ wciąż trwają zapisy. </w:t>
      </w:r>
      <w:r w:rsidRPr="00B05D2E">
        <w:rPr>
          <w:rFonts w:ascii="Calibri" w:hAnsi="Calibri" w:cs="Calibri"/>
          <w:i/>
          <w:iCs/>
        </w:rPr>
        <w:t>– Na pewno Puchar Tymbarku przyczynił się do tego, że zaakceptowaliśmy piłkę nożną w wykonaniu dziewczynek. Dzisiaj często dla rodziców jest to już naturalna sytuacja, że córka jedzie na turniej piłkarski – niezależnie od tego, czy uczęszcza do klubu piłkarskiego, czy też nie.</w:t>
      </w:r>
      <w:r w:rsidRPr="00B05D2E">
        <w:rPr>
          <w:i/>
          <w:iCs/>
        </w:rPr>
        <w:t xml:space="preserve"> </w:t>
      </w:r>
      <w:r w:rsidRPr="00B05D2E">
        <w:rPr>
          <w:rFonts w:ascii="Calibri" w:hAnsi="Calibri" w:cs="Calibri"/>
          <w:i/>
          <w:iCs/>
        </w:rPr>
        <w:t>Zmienia się również podejście nauczycieli wychowania fizycznego</w:t>
      </w:r>
      <w:r>
        <w:rPr>
          <w:rFonts w:ascii="Calibri" w:hAnsi="Calibri" w:cs="Calibri"/>
          <w:i/>
          <w:iCs/>
        </w:rPr>
        <w:t xml:space="preserve"> i edukacji wczesnoszkolnej</w:t>
      </w:r>
      <w:r w:rsidRPr="00B05D2E">
        <w:rPr>
          <w:rFonts w:ascii="Calibri" w:hAnsi="Calibri" w:cs="Calibri"/>
          <w:i/>
          <w:iCs/>
        </w:rPr>
        <w:t xml:space="preserve">, którzy wspierają rozwój piłki nożnej już nie tylko wśród chłopców, ale także dziewczynek. Piłka nożna stała się bardziej </w:t>
      </w:r>
      <w:proofErr w:type="spellStart"/>
      <w:r w:rsidRPr="00B05D2E">
        <w:rPr>
          <w:rFonts w:ascii="Calibri" w:hAnsi="Calibri" w:cs="Calibri"/>
          <w:i/>
          <w:iCs/>
        </w:rPr>
        <w:t>inkluzywna</w:t>
      </w:r>
      <w:proofErr w:type="spellEnd"/>
      <w:r w:rsidRPr="00B05D2E">
        <w:rPr>
          <w:rFonts w:ascii="Calibri" w:hAnsi="Calibri" w:cs="Calibri"/>
          <w:i/>
          <w:iCs/>
        </w:rPr>
        <w:t xml:space="preserve"> i to jest nowa mentalność, do której przyczynił się Puchar Tymbarku. Nie ma nic piękniejszego niż szerzenie idei piłki dla wszystkich</w:t>
      </w:r>
      <w:r>
        <w:rPr>
          <w:rFonts w:ascii="Calibri" w:hAnsi="Calibri" w:cs="Calibri"/>
          <w:i/>
          <w:iCs/>
        </w:rPr>
        <w:t xml:space="preserve"> </w:t>
      </w:r>
      <w:r w:rsidRPr="00B05D2E">
        <w:rPr>
          <w:rFonts w:ascii="Calibri" w:hAnsi="Calibri" w:cs="Calibri"/>
          <w:i/>
          <w:iCs/>
        </w:rPr>
        <w:t>–</w:t>
      </w:r>
      <w:r>
        <w:rPr>
          <w:rFonts w:ascii="Calibri" w:hAnsi="Calibri" w:cs="Calibri"/>
        </w:rPr>
        <w:t xml:space="preserve"> mówi Nina Patalon, s</w:t>
      </w:r>
      <w:r w:rsidRPr="00381EAE">
        <w:rPr>
          <w:rFonts w:ascii="Calibri" w:hAnsi="Calibri" w:cs="Calibri"/>
          <w14:ligatures w14:val="none"/>
        </w:rPr>
        <w:t>elekcjonerka reprezentacji Polski w piłce nożnej kobiet.</w:t>
      </w:r>
    </w:p>
    <w:p w14:paraId="2F7E2AD5" w14:textId="77777777" w:rsidR="003500B0" w:rsidRPr="00381EAE" w:rsidRDefault="003500B0" w:rsidP="0036423A">
      <w:pPr>
        <w:spacing w:after="0" w:line="240" w:lineRule="auto"/>
        <w:jc w:val="both"/>
        <w:rPr>
          <w:rFonts w:ascii="Calibri" w:hAnsi="Calibri" w:cs="Calibri"/>
          <w:b/>
          <w:bCs/>
        </w:rPr>
      </w:pPr>
      <w:r w:rsidRPr="00381EAE">
        <w:rPr>
          <w:rFonts w:ascii="Calibri" w:hAnsi="Calibri" w:cs="Calibri"/>
          <w:b/>
          <w:bCs/>
        </w:rPr>
        <w:lastRenderedPageBreak/>
        <w:t xml:space="preserve">Puchar Tymbarku </w:t>
      </w:r>
      <w:r>
        <w:rPr>
          <w:rFonts w:ascii="Calibri" w:hAnsi="Calibri" w:cs="Calibri"/>
          <w:b/>
          <w:bCs/>
        </w:rPr>
        <w:t xml:space="preserve">wciąż </w:t>
      </w:r>
      <w:r w:rsidRPr="00381EAE">
        <w:rPr>
          <w:rFonts w:ascii="Calibri" w:hAnsi="Calibri" w:cs="Calibri"/>
          <w:b/>
          <w:bCs/>
        </w:rPr>
        <w:t>czeka na Twoją drużynę</w:t>
      </w:r>
    </w:p>
    <w:p w14:paraId="163DF670" w14:textId="77777777" w:rsidR="003500B0" w:rsidRPr="00381EAE" w:rsidRDefault="003500B0" w:rsidP="0036423A">
      <w:pPr>
        <w:spacing w:after="0" w:line="240" w:lineRule="auto"/>
        <w:jc w:val="both"/>
        <w:rPr>
          <w:rFonts w:ascii="Calibri" w:hAnsi="Calibri" w:cs="Calibri"/>
        </w:rPr>
      </w:pPr>
    </w:p>
    <w:p w14:paraId="6223DDFC" w14:textId="77777777" w:rsidR="003500B0" w:rsidRDefault="003500B0" w:rsidP="0036423A">
      <w:pPr>
        <w:spacing w:after="0" w:line="240" w:lineRule="auto"/>
        <w:jc w:val="both"/>
        <w:rPr>
          <w:rFonts w:ascii="Calibri" w:hAnsi="Calibri" w:cs="Calibri"/>
          <w14:ligatures w14:val="none"/>
        </w:rPr>
      </w:pPr>
      <w:r w:rsidRPr="00381EAE">
        <w:rPr>
          <w:rFonts w:ascii="Calibri" w:hAnsi="Calibri" w:cs="Calibri"/>
          <w14:ligatures w14:val="none"/>
        </w:rPr>
        <w:t xml:space="preserve">Puchar Tymbarku to festiwal piłki nożnej, a także możliwość sprawdzenia swoich umiejętności czy nauki zasad fair </w:t>
      </w:r>
      <w:proofErr w:type="spellStart"/>
      <w:r w:rsidRPr="00381EAE">
        <w:rPr>
          <w:rFonts w:ascii="Calibri" w:hAnsi="Calibri" w:cs="Calibri"/>
          <w14:ligatures w14:val="none"/>
        </w:rPr>
        <w:t>play</w:t>
      </w:r>
      <w:proofErr w:type="spellEnd"/>
      <w:r w:rsidRPr="00381EAE">
        <w:rPr>
          <w:rFonts w:ascii="Calibri" w:hAnsi="Calibri" w:cs="Calibri"/>
          <w14:ligatures w14:val="none"/>
        </w:rPr>
        <w:t>. Przygodę z futbolem w ramach rozgrywek zaczynali, m.in.</w:t>
      </w:r>
      <w:r w:rsidRPr="00381EAE">
        <w:rPr>
          <w:rFonts w:ascii="Calibri" w:hAnsi="Calibri" w:cs="Calibri"/>
        </w:rPr>
        <w:t xml:space="preserve"> </w:t>
      </w:r>
      <w:r w:rsidRPr="00381EAE">
        <w:rPr>
          <w:rFonts w:ascii="Calibri" w:hAnsi="Calibri" w:cs="Calibri"/>
          <w14:ligatures w14:val="none"/>
        </w:rPr>
        <w:t xml:space="preserve">Ewa Pajor, Oliwia </w:t>
      </w:r>
      <w:proofErr w:type="spellStart"/>
      <w:r w:rsidRPr="00381EAE">
        <w:rPr>
          <w:rFonts w:ascii="Calibri" w:hAnsi="Calibri" w:cs="Calibri"/>
          <w14:ligatures w14:val="none"/>
        </w:rPr>
        <w:t>Szperkowska</w:t>
      </w:r>
      <w:proofErr w:type="spellEnd"/>
      <w:r w:rsidRPr="00381EAE">
        <w:rPr>
          <w:rFonts w:ascii="Calibri" w:hAnsi="Calibri" w:cs="Calibri"/>
          <w14:ligatures w14:val="none"/>
        </w:rPr>
        <w:t>, Arkadiusz Milik czy Piotr Zieliński</w:t>
      </w:r>
      <w:r>
        <w:rPr>
          <w:rFonts w:ascii="Calibri" w:hAnsi="Calibri" w:cs="Calibri"/>
          <w14:ligatures w14:val="none"/>
        </w:rPr>
        <w:t>.</w:t>
      </w:r>
      <w:r w:rsidRPr="009645A3">
        <w:t xml:space="preserve"> </w:t>
      </w:r>
      <w:r w:rsidRPr="009645A3">
        <w:rPr>
          <w:rFonts w:ascii="Calibri" w:hAnsi="Calibri" w:cs="Calibri"/>
          <w14:ligatures w14:val="none"/>
        </w:rPr>
        <w:t>Do udziału w turnieju mogą zgłosić się drużyny szkolne dziewcząt i chłopców z całej Polski w trzech kategoriach wiekowych: U-8 (rocznik 2016 i 2017), U-10 (rocznik 2014 i 2015) oraz U-12 (rocznik 2012 i 2013). Zgłoszenia mogą dokonać nauczyciele, trenerzy oraz rodzice za pisemną zgodą dyrektora szkoły, wypełniając formularz zgłoszeniowy na stronie</w:t>
      </w:r>
      <w:r>
        <w:rPr>
          <w:rFonts w:ascii="Calibri" w:hAnsi="Calibri" w:cs="Calibri"/>
          <w14:ligatures w14:val="none"/>
        </w:rPr>
        <w:t xml:space="preserve">: </w:t>
      </w:r>
      <w:hyperlink r:id="rId10" w:history="1">
        <w:r w:rsidRPr="00AC499A">
          <w:rPr>
            <w:rStyle w:val="Hipercze"/>
            <w:rFonts w:ascii="Calibri" w:hAnsi="Calibri" w:cs="Calibri"/>
            <w14:ligatures w14:val="none"/>
          </w:rPr>
          <w:t>www.laczynaspilka.pl/puchartymbarku/</w:t>
        </w:r>
      </w:hyperlink>
      <w:r>
        <w:rPr>
          <w:rFonts w:ascii="Calibri" w:hAnsi="Calibri" w:cs="Calibri"/>
          <w14:ligatures w14:val="none"/>
        </w:rPr>
        <w:t xml:space="preserve">. Do 6 marca należy zgłosić zespół, </w:t>
      </w:r>
      <w:r w:rsidRPr="009645A3">
        <w:rPr>
          <w:rFonts w:ascii="Calibri" w:hAnsi="Calibri" w:cs="Calibri"/>
          <w14:ligatures w14:val="none"/>
        </w:rPr>
        <w:t>natomiast listę zawodników będzie można uzupełnić do momentu startu rozgrywek w</w:t>
      </w:r>
      <w:r>
        <w:rPr>
          <w:rFonts w:ascii="Calibri" w:hAnsi="Calibri" w:cs="Calibri"/>
          <w14:ligatures w14:val="none"/>
        </w:rPr>
        <w:t xml:space="preserve"> danym</w:t>
      </w:r>
      <w:r w:rsidRPr="009645A3">
        <w:rPr>
          <w:rFonts w:ascii="Calibri" w:hAnsi="Calibri" w:cs="Calibri"/>
          <w14:ligatures w14:val="none"/>
        </w:rPr>
        <w:t xml:space="preserve"> regionie.</w:t>
      </w:r>
    </w:p>
    <w:p w14:paraId="1507E856" w14:textId="77777777" w:rsidR="003500B0" w:rsidRDefault="003500B0" w:rsidP="0036423A">
      <w:pPr>
        <w:spacing w:after="0" w:line="240" w:lineRule="auto"/>
        <w:jc w:val="both"/>
        <w:rPr>
          <w:rFonts w:ascii="Calibri" w:hAnsi="Calibri" w:cs="Calibri"/>
          <w14:ligatures w14:val="none"/>
        </w:rPr>
      </w:pPr>
    </w:p>
    <w:p w14:paraId="6B68F246" w14:textId="3B5E321C" w:rsidR="003500B0" w:rsidRDefault="003500B0" w:rsidP="0036423A">
      <w:pPr>
        <w:spacing w:after="0" w:line="240" w:lineRule="auto"/>
        <w:jc w:val="both"/>
        <w:rPr>
          <w:rFonts w:ascii="Calibri" w:hAnsi="Calibri" w:cs="Calibri"/>
          <w14:ligatures w14:val="none"/>
        </w:rPr>
      </w:pPr>
      <w:r w:rsidRPr="009645A3">
        <w:rPr>
          <w:rFonts w:ascii="Calibri" w:hAnsi="Calibri" w:cs="Calibri"/>
          <w14:ligatures w14:val="none"/>
        </w:rPr>
        <w:t xml:space="preserve">Zespoły dziewcząt i chłopców rywalizują w oddzielnych kategoriach, jednak istnieje również możliwość stworzenia drużyn mieszanych, w których do zespołów chłopców dołączają dziewczynki. Co więcej, w zespołach w kategorii U-10 i U-12 może wystąpić dwóch zawodników z młodszych roczników. </w:t>
      </w:r>
      <w:r w:rsidRPr="003500B0">
        <w:t>Co</w:t>
      </w:r>
      <w:r>
        <w:t> </w:t>
      </w:r>
      <w:r w:rsidRPr="003500B0">
        <w:t>szczególnie</w:t>
      </w:r>
      <w:r w:rsidRPr="009645A3">
        <w:rPr>
          <w:rFonts w:ascii="Calibri" w:hAnsi="Calibri" w:cs="Calibri"/>
          <w14:ligatures w14:val="none"/>
        </w:rPr>
        <w:t xml:space="preserve"> ważne dla szkół z mniejszych miejscowości, placówki z jednej gminy mają możliwość zgłoszenia jednej wspólnej drużyny w poszczególnych kategoriach wiekowych, pod warunkiem, </w:t>
      </w:r>
      <w:r w:rsidRPr="003500B0">
        <w:t>że</w:t>
      </w:r>
      <w:r>
        <w:t> </w:t>
      </w:r>
      <w:r w:rsidRPr="003500B0">
        <w:t>wszystkie</w:t>
      </w:r>
      <w:r w:rsidRPr="009645A3">
        <w:rPr>
          <w:rFonts w:ascii="Calibri" w:hAnsi="Calibri" w:cs="Calibri"/>
          <w14:ligatures w14:val="none"/>
        </w:rPr>
        <w:t xml:space="preserve"> podmioty mają łącznie nie więcej niż 350 uczniów w rocznikach 2012-2017.</w:t>
      </w:r>
    </w:p>
    <w:p w14:paraId="342348C3" w14:textId="77777777" w:rsidR="003500B0" w:rsidRPr="00381EAE" w:rsidRDefault="003500B0" w:rsidP="0036423A">
      <w:pPr>
        <w:spacing w:after="0" w:line="240" w:lineRule="auto"/>
        <w:jc w:val="both"/>
        <w:rPr>
          <w:rFonts w:ascii="Calibri" w:hAnsi="Calibri" w:cs="Calibri"/>
        </w:rPr>
      </w:pPr>
    </w:p>
    <w:p w14:paraId="48AB38E1" w14:textId="77777777" w:rsidR="003500B0" w:rsidRPr="00381EAE" w:rsidRDefault="003500B0" w:rsidP="0036423A">
      <w:pPr>
        <w:spacing w:after="0" w:line="240" w:lineRule="auto"/>
        <w:jc w:val="both"/>
        <w:rPr>
          <w:rFonts w:ascii="Calibri" w:hAnsi="Calibri" w:cs="Calibri"/>
          <w:color w:val="212529"/>
          <w:shd w:val="clear" w:color="auto" w:fill="FFFFFF"/>
        </w:rPr>
      </w:pPr>
      <w:r w:rsidRPr="00381EAE">
        <w:rPr>
          <w:rFonts w:ascii="Calibri" w:hAnsi="Calibri" w:cs="Calibri"/>
          <w:color w:val="212529"/>
          <w:shd w:val="clear" w:color="auto" w:fill="FFFFFF"/>
        </w:rPr>
        <w:t xml:space="preserve">XXIV edycja Pucharu Tymbarku odbywa się pod Patronatem Honorowym Prezydenta RP Andrzeja Dudy, natomiast w Komitecie Honorowym znajduje się Minister Sportu i Turystyki, Minister Edukacji i Minister Zdrowia. </w:t>
      </w:r>
    </w:p>
    <w:p w14:paraId="6BB1F9FC" w14:textId="77777777" w:rsidR="003500B0" w:rsidRPr="00381EAE" w:rsidRDefault="003500B0" w:rsidP="0036423A">
      <w:pPr>
        <w:spacing w:after="0" w:line="240" w:lineRule="auto"/>
        <w:jc w:val="both"/>
        <w:rPr>
          <w:rFonts w:ascii="Calibri" w:hAnsi="Calibri" w:cs="Calibri"/>
        </w:rPr>
      </w:pPr>
    </w:p>
    <w:p w14:paraId="0F2A1E70" w14:textId="77777777" w:rsidR="0036423A" w:rsidRPr="006F1676" w:rsidRDefault="0036423A" w:rsidP="0036423A">
      <w:pPr>
        <w:spacing w:after="0" w:line="240" w:lineRule="auto"/>
        <w:jc w:val="center"/>
        <w:rPr>
          <w:color w:val="000000" w:themeColor="text1"/>
        </w:rPr>
      </w:pPr>
      <w:r w:rsidRPr="006F1676">
        <w:rPr>
          <w:color w:val="000000" w:themeColor="text1"/>
        </w:rPr>
        <w:t>***</w:t>
      </w:r>
    </w:p>
    <w:p w14:paraId="5DDE6B87" w14:textId="77777777" w:rsidR="0036423A" w:rsidRPr="006F1676" w:rsidRDefault="0036423A" w:rsidP="0036423A">
      <w:pPr>
        <w:spacing w:after="0" w:line="240" w:lineRule="auto"/>
        <w:jc w:val="both"/>
        <w:rPr>
          <w:b/>
          <w:bCs/>
          <w:color w:val="000000" w:themeColor="text1"/>
        </w:rPr>
      </w:pPr>
    </w:p>
    <w:p w14:paraId="38D006C4" w14:textId="77777777" w:rsidR="0036423A" w:rsidRPr="006F1676" w:rsidRDefault="0036423A" w:rsidP="0036423A">
      <w:pPr>
        <w:spacing w:after="0" w:line="240" w:lineRule="auto"/>
        <w:jc w:val="both"/>
        <w:rPr>
          <w:b/>
          <w:bCs/>
          <w:color w:val="000000" w:themeColor="text1"/>
        </w:rPr>
      </w:pPr>
      <w:r w:rsidRPr="006F1676">
        <w:rPr>
          <w:b/>
          <w:bCs/>
          <w:color w:val="000000" w:themeColor="text1"/>
        </w:rPr>
        <w:t>O TURNIEJU</w:t>
      </w:r>
    </w:p>
    <w:p w14:paraId="1FA05630" w14:textId="4E7B1839" w:rsidR="0036423A" w:rsidRDefault="0036423A" w:rsidP="0036423A">
      <w:pPr>
        <w:spacing w:after="0" w:line="240" w:lineRule="auto"/>
        <w:jc w:val="both"/>
      </w:pPr>
      <w:r w:rsidRPr="006F1676">
        <w:rPr>
          <w:color w:val="000000" w:themeColor="text1"/>
        </w:rPr>
        <w:t xml:space="preserve">Od 24 lat Polski Związek Piłki Nożnej organizuje największy w Europie turniej piłkarski dzieci, realizowany w trzech kategoriach wiekowych: do lat 8, 10 i 12. Do tej pory w rozgrywkach udział wzięło wiele piłkarek i piłkarzy grających dziś w najlepszych klubach europejskich oraz reprezentacji Polski. Od 2007 r. Sponsorem generalnym wydarzenia jest marka Tymbark. </w:t>
      </w:r>
      <w:r w:rsidRPr="00236D61">
        <w:t xml:space="preserve">Więcej informacji na temat Pucharu Tymbarku, nagród oraz formularz zgłoszeniowy znajdują się na stronie: </w:t>
      </w:r>
      <w:hyperlink r:id="rId11" w:history="1">
        <w:r w:rsidRPr="00447B11">
          <w:rPr>
            <w:rStyle w:val="Hipercze"/>
          </w:rPr>
          <w:t>www.laczynaspilka.pl/puchartymbarku</w:t>
        </w:r>
      </w:hyperlink>
      <w:r w:rsidR="0029245D">
        <w:rPr>
          <w:rStyle w:val="Hipercze"/>
        </w:rPr>
        <w:t>.</w:t>
      </w:r>
      <w:r>
        <w:t xml:space="preserve"> </w:t>
      </w:r>
    </w:p>
    <w:p w14:paraId="50CE5931" w14:textId="77777777" w:rsidR="0036423A" w:rsidRPr="006F1676" w:rsidRDefault="0036423A" w:rsidP="0036423A">
      <w:pPr>
        <w:spacing w:after="0" w:line="240" w:lineRule="auto"/>
        <w:rPr>
          <w:color w:val="000000" w:themeColor="text1"/>
        </w:rPr>
      </w:pPr>
    </w:p>
    <w:p w14:paraId="174091A8" w14:textId="77777777" w:rsidR="0036423A" w:rsidRPr="006F1676" w:rsidRDefault="0036423A" w:rsidP="0036423A">
      <w:pPr>
        <w:spacing w:after="0" w:line="240" w:lineRule="auto"/>
        <w:jc w:val="both"/>
        <w:rPr>
          <w:b/>
          <w:bCs/>
          <w:color w:val="000000" w:themeColor="text1"/>
        </w:rPr>
      </w:pPr>
      <w:r w:rsidRPr="006F1676">
        <w:rPr>
          <w:b/>
          <w:bCs/>
          <w:color w:val="000000" w:themeColor="text1"/>
        </w:rPr>
        <w:t>KONTAKT DLA MEDIÓW DOT. PUCHARU TYMBARKU</w:t>
      </w:r>
    </w:p>
    <w:p w14:paraId="2320A03E" w14:textId="77777777" w:rsidR="0036423A" w:rsidRPr="006F1676" w:rsidRDefault="0036423A" w:rsidP="0036423A">
      <w:pPr>
        <w:spacing w:after="0" w:line="240" w:lineRule="auto"/>
        <w:jc w:val="both"/>
        <w:rPr>
          <w:b/>
          <w:bCs/>
          <w:color w:val="000000" w:themeColor="text1"/>
        </w:rPr>
      </w:pPr>
    </w:p>
    <w:p w14:paraId="05A879F3" w14:textId="77777777" w:rsidR="0036423A" w:rsidRDefault="0036423A" w:rsidP="0036423A">
      <w:pPr>
        <w:spacing w:after="0" w:line="240" w:lineRule="auto"/>
        <w:rPr>
          <w:b/>
          <w:bCs/>
          <w:color w:val="000000" w:themeColor="text1"/>
        </w:rPr>
        <w:sectPr w:rsidR="0036423A" w:rsidSect="00A2365C">
          <w:headerReference w:type="even" r:id="rId12"/>
          <w:headerReference w:type="default" r:id="rId13"/>
          <w:headerReference w:type="first" r:id="rId14"/>
          <w:pgSz w:w="11906" w:h="16838"/>
          <w:pgMar w:top="3544" w:right="1417" w:bottom="1417" w:left="1417" w:header="708" w:footer="708" w:gutter="0"/>
          <w:cols w:space="708"/>
          <w:docGrid w:linePitch="360"/>
        </w:sectPr>
      </w:pPr>
    </w:p>
    <w:p w14:paraId="35B02591" w14:textId="77777777" w:rsidR="0036423A" w:rsidRDefault="0036423A" w:rsidP="0036423A">
      <w:pPr>
        <w:spacing w:after="0" w:line="240" w:lineRule="auto"/>
        <w:rPr>
          <w:color w:val="000000" w:themeColor="text1"/>
        </w:rPr>
      </w:pPr>
      <w:r w:rsidRPr="006F1676">
        <w:rPr>
          <w:b/>
          <w:bCs/>
          <w:color w:val="000000" w:themeColor="text1"/>
        </w:rPr>
        <w:t>Patrycja Maciąg – Polski Związek Piłki Nożnej</w:t>
      </w:r>
      <w:r w:rsidRPr="006F1676">
        <w:rPr>
          <w:color w:val="000000" w:themeColor="text1"/>
        </w:rPr>
        <w:br/>
        <w:t>Specjalist</w:t>
      </w:r>
      <w:r>
        <w:rPr>
          <w:color w:val="000000" w:themeColor="text1"/>
        </w:rPr>
        <w:t>k</w:t>
      </w:r>
      <w:r w:rsidRPr="006F1676">
        <w:rPr>
          <w:color w:val="000000" w:themeColor="text1"/>
        </w:rPr>
        <w:t>a ds. promocji i komunikacji turniejów amatorskich</w:t>
      </w:r>
      <w:r w:rsidRPr="006F1676">
        <w:rPr>
          <w:color w:val="000000" w:themeColor="text1"/>
        </w:rPr>
        <w:br/>
        <w:t>Departament Piłki Amatorskiej (</w:t>
      </w:r>
      <w:proofErr w:type="spellStart"/>
      <w:r w:rsidRPr="006F1676">
        <w:rPr>
          <w:color w:val="000000" w:themeColor="text1"/>
        </w:rPr>
        <w:t>Grassroots</w:t>
      </w:r>
      <w:proofErr w:type="spellEnd"/>
      <w:r w:rsidRPr="006F1676">
        <w:rPr>
          <w:color w:val="000000" w:themeColor="text1"/>
        </w:rPr>
        <w:t>)</w:t>
      </w:r>
      <w:r w:rsidRPr="006F1676">
        <w:rPr>
          <w:color w:val="000000" w:themeColor="text1"/>
        </w:rPr>
        <w:br/>
        <w:t>E: </w:t>
      </w:r>
      <w:hyperlink r:id="rId15" w:history="1">
        <w:r w:rsidRPr="006F1676">
          <w:rPr>
            <w:rStyle w:val="Hipercze"/>
            <w:color w:val="000000" w:themeColor="text1"/>
          </w:rPr>
          <w:t>patrycja.maciag@pzpn.pl</w:t>
        </w:r>
      </w:hyperlink>
      <w:r w:rsidRPr="006F1676">
        <w:rPr>
          <w:color w:val="000000" w:themeColor="text1"/>
        </w:rPr>
        <w:t> </w:t>
      </w:r>
    </w:p>
    <w:p w14:paraId="6709E1D4" w14:textId="59031297" w:rsidR="0036423A" w:rsidRDefault="0036423A" w:rsidP="0036423A">
      <w:pPr>
        <w:spacing w:after="0" w:line="240" w:lineRule="auto"/>
        <w:rPr>
          <w:color w:val="000000" w:themeColor="text1"/>
        </w:rPr>
      </w:pPr>
      <w:r>
        <w:rPr>
          <w:color w:val="000000" w:themeColor="text1"/>
        </w:rPr>
        <w:t>T</w:t>
      </w:r>
      <w:r w:rsidRPr="006F1676">
        <w:rPr>
          <w:color w:val="000000" w:themeColor="text1"/>
        </w:rPr>
        <w:t>: +48 510 262</w:t>
      </w:r>
      <w:r>
        <w:rPr>
          <w:color w:val="000000" w:themeColor="text1"/>
        </w:rPr>
        <w:t> </w:t>
      </w:r>
      <w:r w:rsidRPr="006F1676">
        <w:rPr>
          <w:color w:val="000000" w:themeColor="text1"/>
        </w:rPr>
        <w:t>670</w:t>
      </w:r>
    </w:p>
    <w:p w14:paraId="15D7B0C1" w14:textId="77777777" w:rsidR="0036423A" w:rsidRPr="006F1676" w:rsidRDefault="0036423A" w:rsidP="0036423A">
      <w:pPr>
        <w:spacing w:after="0" w:line="240" w:lineRule="auto"/>
        <w:rPr>
          <w:color w:val="000000" w:themeColor="text1"/>
        </w:rPr>
      </w:pPr>
    </w:p>
    <w:p w14:paraId="01297615" w14:textId="77777777" w:rsidR="0036423A" w:rsidRPr="006F1676" w:rsidRDefault="0036423A" w:rsidP="0036423A">
      <w:pPr>
        <w:spacing w:after="0" w:line="240" w:lineRule="auto"/>
        <w:rPr>
          <w:rFonts w:eastAsia="Times New Roman"/>
          <w:lang w:eastAsia="pl-PL"/>
        </w:rPr>
      </w:pPr>
      <w:r w:rsidRPr="00E8524E">
        <w:rPr>
          <w:rFonts w:eastAsia="Times New Roman"/>
          <w:b/>
          <w:bCs/>
          <w:lang w:val="nl-NL" w:eastAsia="pl-PL"/>
        </w:rPr>
        <w:t xml:space="preserve">Daniel Karaś </w:t>
      </w:r>
      <w:r>
        <w:rPr>
          <w:rFonts w:eastAsia="Times New Roman"/>
          <w:b/>
          <w:bCs/>
          <w:lang w:val="nl-NL" w:eastAsia="pl-PL"/>
        </w:rPr>
        <w:t>–</w:t>
      </w:r>
      <w:r w:rsidRPr="00E8524E">
        <w:rPr>
          <w:rFonts w:eastAsia="Times New Roman"/>
          <w:b/>
          <w:bCs/>
          <w:lang w:val="nl-NL" w:eastAsia="pl-PL"/>
        </w:rPr>
        <w:t xml:space="preserve"> </w:t>
      </w:r>
      <w:r w:rsidRPr="006F1676">
        <w:rPr>
          <w:rFonts w:eastAsia="Times New Roman"/>
          <w:b/>
          <w:bCs/>
          <w:lang w:val="nl-NL" w:eastAsia="pl-PL"/>
        </w:rPr>
        <w:t>Grupa Maspex/Tymbark</w:t>
      </w:r>
      <w:r w:rsidRPr="006F1676">
        <w:rPr>
          <w:rFonts w:eastAsia="Times New Roman"/>
          <w:lang w:val="nl-NL" w:eastAsia="pl-PL"/>
        </w:rPr>
        <w:br/>
        <w:t xml:space="preserve">Manager ds. </w:t>
      </w:r>
      <w:r w:rsidRPr="006F1676">
        <w:rPr>
          <w:rFonts w:eastAsia="Times New Roman"/>
          <w:lang w:eastAsia="pl-PL"/>
        </w:rPr>
        <w:t>CSR</w:t>
      </w:r>
    </w:p>
    <w:p w14:paraId="2EA3C4F8" w14:textId="3310548F" w:rsidR="0036423A" w:rsidRPr="006F1676" w:rsidRDefault="0036423A" w:rsidP="0036423A">
      <w:pPr>
        <w:spacing w:after="0" w:line="240" w:lineRule="auto"/>
        <w:rPr>
          <w:rFonts w:eastAsia="Times New Roman"/>
          <w:lang w:val="en-US" w:eastAsia="pl-PL"/>
        </w:rPr>
      </w:pPr>
      <w:r w:rsidRPr="00E8524E">
        <w:rPr>
          <w:rFonts w:eastAsia="Times New Roman"/>
          <w:lang w:val="en-US" w:eastAsia="pl-PL"/>
        </w:rPr>
        <w:t>E:</w:t>
      </w:r>
      <w:r w:rsidRPr="0048559F">
        <w:rPr>
          <w:rFonts w:eastAsia="Times New Roman"/>
          <w:lang w:val="en-US" w:eastAsia="pl-PL"/>
        </w:rPr>
        <w:t xml:space="preserve"> </w:t>
      </w:r>
      <w:hyperlink r:id="rId16" w:history="1">
        <w:r w:rsidRPr="0048559F">
          <w:rPr>
            <w:rStyle w:val="Hipercze"/>
            <w:rFonts w:eastAsia="Times New Roman"/>
            <w:color w:val="auto"/>
            <w:lang w:val="en-US" w:eastAsia="pl-PL"/>
          </w:rPr>
          <w:t>d.karas@maspex.com</w:t>
        </w:r>
      </w:hyperlink>
      <w:r w:rsidRPr="006F1676">
        <w:rPr>
          <w:rFonts w:eastAsia="Times New Roman"/>
          <w:lang w:val="en-US" w:eastAsia="pl-PL"/>
        </w:rPr>
        <w:br/>
      </w:r>
      <w:r>
        <w:rPr>
          <w:rFonts w:eastAsia="Times New Roman"/>
          <w:lang w:val="en-US" w:eastAsia="pl-PL"/>
        </w:rPr>
        <w:t>T</w:t>
      </w:r>
      <w:r w:rsidRPr="006F1676">
        <w:rPr>
          <w:rFonts w:eastAsia="Times New Roman"/>
          <w:lang w:val="en-US" w:eastAsia="pl-PL"/>
        </w:rPr>
        <w:t>: +48 502 195</w:t>
      </w:r>
      <w:r>
        <w:rPr>
          <w:rFonts w:eastAsia="Times New Roman"/>
          <w:lang w:val="en-US" w:eastAsia="pl-PL"/>
        </w:rPr>
        <w:t> </w:t>
      </w:r>
      <w:r w:rsidRPr="006F1676">
        <w:rPr>
          <w:rFonts w:eastAsia="Times New Roman"/>
          <w:lang w:val="en-US" w:eastAsia="pl-PL"/>
        </w:rPr>
        <w:t>114</w:t>
      </w:r>
    </w:p>
    <w:p w14:paraId="5FBF6D63" w14:textId="77777777" w:rsidR="0036423A" w:rsidRDefault="0036423A" w:rsidP="0036423A">
      <w:pPr>
        <w:spacing w:after="0" w:line="240" w:lineRule="auto"/>
      </w:pPr>
    </w:p>
    <w:p w14:paraId="68860421" w14:textId="77777777" w:rsidR="0036423A" w:rsidRDefault="0036423A" w:rsidP="0036423A">
      <w:pPr>
        <w:spacing w:after="0" w:line="240" w:lineRule="auto"/>
      </w:pPr>
    </w:p>
    <w:p w14:paraId="2B5B105B" w14:textId="77777777" w:rsidR="0036423A" w:rsidRDefault="0036423A" w:rsidP="0036423A">
      <w:pPr>
        <w:spacing w:after="0" w:line="240" w:lineRule="auto"/>
        <w:sectPr w:rsidR="0036423A" w:rsidSect="00A2365C">
          <w:type w:val="continuous"/>
          <w:pgSz w:w="11906" w:h="16838"/>
          <w:pgMar w:top="3544" w:right="1417" w:bottom="1417" w:left="1417" w:header="708" w:footer="708" w:gutter="0"/>
          <w:cols w:num="2" w:space="708"/>
          <w:docGrid w:linePitch="360"/>
        </w:sectPr>
      </w:pPr>
    </w:p>
    <w:p w14:paraId="4FEB5D12" w14:textId="77777777" w:rsidR="0036423A" w:rsidRDefault="0036423A" w:rsidP="0036423A">
      <w:pPr>
        <w:spacing w:after="0" w:line="240" w:lineRule="auto"/>
      </w:pPr>
    </w:p>
    <w:sectPr w:rsidR="0036423A" w:rsidSect="00A2365C">
      <w:type w:val="continuous"/>
      <w:pgSz w:w="11906" w:h="16838"/>
      <w:pgMar w:top="354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3DC49" w14:textId="77777777" w:rsidR="00A2365C" w:rsidRDefault="00A2365C" w:rsidP="009A0A7C">
      <w:pPr>
        <w:spacing w:after="0" w:line="240" w:lineRule="auto"/>
      </w:pPr>
      <w:r>
        <w:separator/>
      </w:r>
    </w:p>
  </w:endnote>
  <w:endnote w:type="continuationSeparator" w:id="0">
    <w:p w14:paraId="3188C371" w14:textId="77777777" w:rsidR="00A2365C" w:rsidRDefault="00A2365C" w:rsidP="009A0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CBA8C" w14:textId="77777777" w:rsidR="00A2365C" w:rsidRDefault="00A2365C" w:rsidP="009A0A7C">
      <w:pPr>
        <w:spacing w:after="0" w:line="240" w:lineRule="auto"/>
      </w:pPr>
      <w:r>
        <w:separator/>
      </w:r>
    </w:p>
  </w:footnote>
  <w:footnote w:type="continuationSeparator" w:id="0">
    <w:p w14:paraId="04DEAB59" w14:textId="77777777" w:rsidR="00A2365C" w:rsidRDefault="00A2365C" w:rsidP="009A0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9D5D7" w14:textId="77777777" w:rsidR="009A0A7C" w:rsidRDefault="00000000">
    <w:pPr>
      <w:pStyle w:val="Nagwek"/>
    </w:pPr>
    <w:r>
      <w:rPr>
        <w:noProof/>
      </w:rPr>
      <w:pict w14:anchorId="40A9D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794360" o:spid="_x0000_s1026" type="#_x0000_t75" style="position:absolute;margin-left:0;margin-top:0;width:595.2pt;height:841.9pt;z-index:-251657216;mso-position-horizontal:center;mso-position-horizontal-relative:margin;mso-position-vertical:center;mso-position-vertical-relative:margin" o:allowincell="f">
          <v:imagedata r:id="rId1" o:title="papier_word_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9D5D8" w14:textId="77777777" w:rsidR="009A0A7C" w:rsidRDefault="00000000">
    <w:pPr>
      <w:pStyle w:val="Nagwek"/>
    </w:pPr>
    <w:r>
      <w:rPr>
        <w:noProof/>
      </w:rPr>
      <w:pict w14:anchorId="40A9D5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794361" o:spid="_x0000_s1027" type="#_x0000_t75" style="position:absolute;margin-left:-70.85pt;margin-top:-176.7pt;width:595.2pt;height:841.9pt;z-index:-251656192;mso-position-horizontal-relative:margin;mso-position-vertical-relative:margin" o:allowincell="f">
          <v:imagedata r:id="rId1" o:title="papier_word_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9D5DB" w14:textId="77777777" w:rsidR="009A0A7C" w:rsidRDefault="00000000">
    <w:pPr>
      <w:pStyle w:val="Nagwek"/>
    </w:pPr>
    <w:r>
      <w:rPr>
        <w:noProof/>
      </w:rPr>
      <w:pict w14:anchorId="40A9D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794359" o:spid="_x0000_s1025" type="#_x0000_t75" style="position:absolute;margin-left:0;margin-top:0;width:595.2pt;height:841.9pt;z-index:-251658240;mso-position-horizontal:center;mso-position-horizontal-relative:margin;mso-position-vertical:center;mso-position-vertical-relative:margin" o:allowincell="f">
          <v:imagedata r:id="rId1" o:title="papier_word_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CE7"/>
    <w:rsid w:val="001D23D2"/>
    <w:rsid w:val="0029245D"/>
    <w:rsid w:val="003500B0"/>
    <w:rsid w:val="0036423A"/>
    <w:rsid w:val="0048559F"/>
    <w:rsid w:val="00553DB9"/>
    <w:rsid w:val="00702799"/>
    <w:rsid w:val="009A0A7C"/>
    <w:rsid w:val="009E5D9B"/>
    <w:rsid w:val="00A2365C"/>
    <w:rsid w:val="00AA62C8"/>
    <w:rsid w:val="00D12C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9D5D2"/>
  <w15:chartTrackingRefBased/>
  <w15:docId w15:val="{4A38E9E9-BF42-492D-AD8A-C703446B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00B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A0A7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A0A7C"/>
  </w:style>
  <w:style w:type="paragraph" w:styleId="Stopka">
    <w:name w:val="footer"/>
    <w:basedOn w:val="Normalny"/>
    <w:link w:val="StopkaZnak"/>
    <w:uiPriority w:val="99"/>
    <w:unhideWhenUsed/>
    <w:rsid w:val="009A0A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0A7C"/>
  </w:style>
  <w:style w:type="character" w:styleId="Hipercze">
    <w:name w:val="Hyperlink"/>
    <w:basedOn w:val="Domylnaczcionkaakapitu"/>
    <w:uiPriority w:val="99"/>
    <w:unhideWhenUsed/>
    <w:rsid w:val="003500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d.karas@maspex.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aczynaspilka.pl/puchartymbarku" TargetMode="External"/><Relationship Id="rId5" Type="http://schemas.openxmlformats.org/officeDocument/2006/relationships/styles" Target="styles.xml"/><Relationship Id="rId15" Type="http://schemas.openxmlformats.org/officeDocument/2006/relationships/hyperlink" Target="mailto:patrycja.maciag@pzpn.pl" TargetMode="External"/><Relationship Id="rId10" Type="http://schemas.openxmlformats.org/officeDocument/2006/relationships/hyperlink" Target="http://www.laczynaspilka.pl/puchartymbarku/"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4012102-ac5b-4dea-bb68-7cfedfc71f8c">
      <Terms xmlns="http://schemas.microsoft.com/office/infopath/2007/PartnerControls"/>
    </lcf76f155ced4ddcb4097134ff3c332f>
    <TaxCatchAll xmlns="82f2940b-07e7-48c4-881b-b408788995f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A570C0206F69934DBFEAD6EBA2312242" ma:contentTypeVersion="18" ma:contentTypeDescription="Utwórz nowy dokument." ma:contentTypeScope="" ma:versionID="5793c4baebe9f213bc899a9ff710cff7">
  <xsd:schema xmlns:xsd="http://www.w3.org/2001/XMLSchema" xmlns:xs="http://www.w3.org/2001/XMLSchema" xmlns:p="http://schemas.microsoft.com/office/2006/metadata/properties" xmlns:ns2="b4012102-ac5b-4dea-bb68-7cfedfc71f8c" xmlns:ns3="82f2940b-07e7-48c4-881b-b408788995f8" targetNamespace="http://schemas.microsoft.com/office/2006/metadata/properties" ma:root="true" ma:fieldsID="b9f6fda0230b611b3e1b2fc613fb4a4b" ns2:_="" ns3:_="">
    <xsd:import namespace="b4012102-ac5b-4dea-bb68-7cfedfc71f8c"/>
    <xsd:import namespace="82f2940b-07e7-48c4-881b-b408788995f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012102-ac5b-4dea-bb68-7cfedfc71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f33aff98-8054-4ffc-8783-caab45765b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2940b-07e7-48c4-881b-b408788995f8"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5b7f3291-9064-4059-9d6c-6ebaedccb984}" ma:internalName="TaxCatchAll" ma:showField="CatchAllData" ma:web="82f2940b-07e7-48c4-881b-b408788995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E5614C-9D7B-463A-AD2C-1351F793D1D4}">
  <ds:schemaRefs>
    <ds:schemaRef ds:uri="http://schemas.microsoft.com/sharepoint/v3/contenttype/forms"/>
  </ds:schemaRefs>
</ds:datastoreItem>
</file>

<file path=customXml/itemProps2.xml><?xml version="1.0" encoding="utf-8"?>
<ds:datastoreItem xmlns:ds="http://schemas.openxmlformats.org/officeDocument/2006/customXml" ds:itemID="{26E3FC19-128E-4B70-A0F2-7387CFEF6EDA}">
  <ds:schemaRefs>
    <ds:schemaRef ds:uri="http://schemas.microsoft.com/office/2006/metadata/properties"/>
    <ds:schemaRef ds:uri="http://schemas.microsoft.com/office/infopath/2007/PartnerControls"/>
    <ds:schemaRef ds:uri="b4012102-ac5b-4dea-bb68-7cfedfc71f8c"/>
    <ds:schemaRef ds:uri="82f2940b-07e7-48c4-881b-b408788995f8"/>
  </ds:schemaRefs>
</ds:datastoreItem>
</file>

<file path=customXml/itemProps3.xml><?xml version="1.0" encoding="utf-8"?>
<ds:datastoreItem xmlns:ds="http://schemas.openxmlformats.org/officeDocument/2006/customXml" ds:itemID="{1B76B4B2-974C-4C5C-BC82-9A34EAFCAB38}">
  <ds:schemaRefs>
    <ds:schemaRef ds:uri="http://schemas.openxmlformats.org/officeDocument/2006/bibliography"/>
  </ds:schemaRefs>
</ds:datastoreItem>
</file>

<file path=customXml/itemProps4.xml><?xml version="1.0" encoding="utf-8"?>
<ds:datastoreItem xmlns:ds="http://schemas.openxmlformats.org/officeDocument/2006/customXml" ds:itemID="{B72FA7B8-4CAC-416E-AC6D-DAA1351F3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012102-ac5b-4dea-bb68-7cfedfc71f8c"/>
    <ds:schemaRef ds:uri="82f2940b-07e7-48c4-881b-b40878899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850</Words>
  <Characters>5103</Characters>
  <Application>Microsoft Office Word</Application>
  <DocSecurity>0</DocSecurity>
  <Lines>42</Lines>
  <Paragraphs>11</Paragraphs>
  <ScaleCrop>false</ScaleCrop>
  <Company/>
  <LinksUpToDate>false</LinksUpToDate>
  <CharactersWithSpaces>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Kołodziej</dc:creator>
  <cp:keywords/>
  <dc:description/>
  <cp:lastModifiedBy>Patrycja Maciąg</cp:lastModifiedBy>
  <cp:revision>3</cp:revision>
  <dcterms:created xsi:type="dcterms:W3CDTF">2024-02-26T14:37:00Z</dcterms:created>
  <dcterms:modified xsi:type="dcterms:W3CDTF">2024-02-26T14:53:00Z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0x010100A570C0206F69934DBFEAD6EBA2312242</vt:lpwstr>
  </property>
</Properties>
</file>